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CONSTRUCTION WORKER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Construction Worker is responsible for various construction-related activities during all phases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project. This role works alongside skilled tradespeople.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effective Construction Worker has superb physical strength and stamina to carry out daily responsibilities. This person is adaptable and quick to learn new skills.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Cleaning and preparing construction sites by removing debris and possible hazards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Digging trenches, backfilling holes, or compacting earth to prepare for construction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Loading and unloading construction materials and transporting them to work sites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Building and dismantling bracing, scaffolding, and temporary structures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Mixing, pouring, and distributing asphalt and concrete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Assisting construction tradespeople (e.g., carpenters, bricklayers, cement finishers)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Assisting heavy equipment operators in securing special equipment attachments, signalling to guide operators in moving equipment, and assisting with other tasks.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Operating and tending to construction machines or equipment such as mixers, compressors, and pumps.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Following construction plans and instructions from supervisors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Directing traffic near or around construction sites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additional duties as directed on construction sites.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as a general construction labourer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Experience in oil and gas pipeline construction (FOR pipeline workers)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Traffic control certificate (FOR Flagmen/women)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using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power tools and machinery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GED, specialization, or certificate is an asset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Trade specific and technological skills certification is a plus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maths skills for calculating surfaces and equipment requirements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hand-eye coordination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and teamwork skills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ability to follow directions</w:t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Often work outdoors but may be indoors depending on assignment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distracting or uncomfortable sounds and noise levels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very hot or very cold temperatures when working outdoors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working in very bright or very dim lighting conditions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contaminants or chemicals (e.g. fumes from paints or sealers)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use of hazardous machinery or equipment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pounds, etc.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LF7qGus8lv0apkjMYI2gcgvtQ==">AMUW2mXpUqj58GD70nqSuYef5Xk50VYSY6Ah93Kh8Ghsi2y+Sw0AFmBXR6urLlokKhkj/XMRROVYV62bYXE6xII93/ewAEt2bQsbPo+rDOqaFFdnRtzgv+zFwMOddX+mpKBM4FtfFD46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